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A82E9D" w14:textId="77777777" w:rsidR="002820B9" w:rsidRDefault="00314EFF">
      <w:r>
        <w:rPr>
          <w:b/>
        </w:rPr>
        <w:t>Figure 1</w:t>
      </w:r>
      <w:r>
        <w:t xml:space="preserve">. Distribution of </w:t>
      </w:r>
      <w:r>
        <w:rPr>
          <w:i/>
        </w:rPr>
        <w:t>Quercus pyrenaica</w:t>
      </w:r>
      <w:r>
        <w:t xml:space="preserve"> forests in the Iberian Peninsula (a) and in Sierra Nevada mountain range (b). Different colours indicate oak population cluster’s identified in Sierra Nevada (Pérez-Luque et al. 2015)</w:t>
      </w:r>
      <w:r>
        <w:t>. For each population, a grid with the MODIS pixels is shown (see material and methods). Detailed location of the dendroecological sampling sites: northern (San Juan, SJ) (c), and southern ones (Cáñar: CA-Low and CA-High) (d). Colour orthophotography of 20</w:t>
      </w:r>
      <w:r>
        <w:t>09 from Regional Ministry of the Environment.</w:t>
      </w:r>
    </w:p>
    <w:p w14:paraId="6E1111B4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630015E6" wp14:editId="1554FE29">
            <wp:extent cx="5049471" cy="714375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out/fig/geomap/mapa_situacion_v2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471" cy="714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E109F9" w14:textId="77777777" w:rsidR="002820B9" w:rsidRDefault="002820B9">
      <w:pPr>
        <w:pStyle w:val="Ttulo5"/>
      </w:pPr>
      <w:bookmarkStart w:id="0" w:name="section"/>
      <w:bookmarkEnd w:id="0"/>
    </w:p>
    <w:p w14:paraId="1748585F" w14:textId="77777777" w:rsidR="002820B9" w:rsidRDefault="00314EFF">
      <w:r>
        <w:rPr>
          <w:b/>
        </w:rPr>
        <w:t>Figure 2.</w:t>
      </w:r>
      <w:r>
        <w:t xml:space="preserve"> EVI standardized anomaly during the period 2000-2016 for northern and southern populations. Error bars show standard error. See main text for details on EVI calculation.</w:t>
      </w:r>
    </w:p>
    <w:p w14:paraId="4D72EFDB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78A72A0E" wp14:editId="40056002">
            <wp:extent cx="6324600" cy="63246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87901" w14:textId="77777777" w:rsidR="002820B9" w:rsidRDefault="002820B9">
      <w:pPr>
        <w:pStyle w:val="Ttulo5"/>
      </w:pPr>
      <w:bookmarkStart w:id="1" w:name="section-1"/>
      <w:bookmarkEnd w:id="1"/>
    </w:p>
    <w:p w14:paraId="3BF6EA0A" w14:textId="77777777" w:rsidR="002820B9" w:rsidRDefault="00314EFF">
      <w:r>
        <w:rPr>
          <w:b/>
        </w:rPr>
        <w:t>Figure 3.</w:t>
      </w:r>
      <w:r>
        <w:t xml:space="preserve"> Percentage of </w:t>
      </w:r>
      <w:r>
        <w:t>pixels showing browning, greening or no-changes during the 2005 and 2012 drought events according to EVI standardized anomalies. See main text for an explanation of greening and browning.</w:t>
      </w:r>
    </w:p>
    <w:p w14:paraId="0A7D50D6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29410F8F" wp14:editId="3FFEAAD4">
            <wp:extent cx="6324600" cy="63246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3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92D4FF" w14:textId="77777777" w:rsidR="002820B9" w:rsidRDefault="002820B9">
      <w:pPr>
        <w:pStyle w:val="Ttulo5"/>
      </w:pPr>
      <w:bookmarkStart w:id="2" w:name="section-2"/>
      <w:bookmarkEnd w:id="2"/>
    </w:p>
    <w:p w14:paraId="1001F768" w14:textId="77777777" w:rsidR="002820B9" w:rsidRDefault="00314EFF">
      <w:r>
        <w:rPr>
          <w:b/>
        </w:rPr>
        <w:t>Figure 4.</w:t>
      </w:r>
      <w:r>
        <w:t xml:space="preserve"> Basal Area Increment (BAI) chronologies of </w:t>
      </w:r>
      <w:r>
        <w:rPr>
          <w:i/>
        </w:rPr>
        <w:t>Q. pyrenaica</w:t>
      </w:r>
      <w:r>
        <w:t xml:space="preserve"> for northern population (SJ; </w:t>
      </w:r>
      <w:r>
        <w:rPr>
          <w:i/>
        </w:rPr>
        <w:t>red</w:t>
      </w:r>
      <w:r>
        <w:t xml:space="preserve">) and southern ones: low-elevation (CA-Low; </w:t>
      </w:r>
      <w:r>
        <w:rPr>
          <w:i/>
        </w:rPr>
        <w:t>green</w:t>
      </w:r>
      <w:r>
        <w:t xml:space="preserve">) and high-elevation (CA-High, </w:t>
      </w:r>
      <w:r>
        <w:rPr>
          <w:i/>
        </w:rPr>
        <w:t>blue</w:t>
      </w:r>
      <w:r>
        <w:t>) sites. Shading areas correspond to standard error of the mean. Number of series is displayed in the upper plot. We only show years replic</w:t>
      </w:r>
      <w:r>
        <w:t xml:space="preserve">ated with # series &gt; 5. Linear trends since 1975 are shown all sites (numbers indicate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values; asterisks indicate significant linear trend, </w:t>
      </w:r>
      <w:r>
        <w:rPr>
          <w:i/>
        </w:rPr>
        <w:t>p &lt; 0.001</w:t>
      </w:r>
      <w:r>
        <w:t>).</w:t>
      </w:r>
    </w:p>
    <w:p w14:paraId="367D102C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27EC649A" wp14:editId="32DC3CC4">
            <wp:extent cx="6324600" cy="3541518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4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E23515" w14:textId="77777777" w:rsidR="002820B9" w:rsidRDefault="002820B9">
      <w:pPr>
        <w:pStyle w:val="Ttulo5"/>
      </w:pPr>
      <w:bookmarkStart w:id="3" w:name="section-3"/>
      <w:bookmarkEnd w:id="3"/>
    </w:p>
    <w:p w14:paraId="5F1B634F" w14:textId="77777777" w:rsidR="002820B9" w:rsidRDefault="00314EFF">
      <w:r>
        <w:rPr>
          <w:b/>
        </w:rPr>
        <w:t>Figure 5.</w:t>
      </w:r>
      <w:r>
        <w:t xml:space="preserve"> Comparison of median growth change (</w:t>
      </w:r>
      <m:oMath>
        <m:r>
          <w:rPr>
            <w:rFonts w:ascii="Cambria Math" w:hAnsi="Cambria Math"/>
          </w:rPr>
          <m:t>GC</m:t>
        </m:r>
      </m:oMath>
      <w:r>
        <w:t xml:space="preserve">) following Nowacki and Abrams (1997) for </w:t>
      </w:r>
      <w:r>
        <w:rPr>
          <w:i/>
        </w:rPr>
        <w:t>Q. py</w:t>
      </w:r>
      <w:r>
        <w:rPr>
          <w:i/>
        </w:rPr>
        <w:t>renaica</w:t>
      </w:r>
      <w:r>
        <w:t xml:space="preserve"> sites. Dashed black lines indicate a threshold of 50 % of GC (see material and methods). Note that y-axes do not correspond in all of the three panels for the sake of clarity. Error bars indicate standard error.</w:t>
      </w:r>
    </w:p>
    <w:p w14:paraId="38BDB121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4613F65B" wp14:editId="06DEE205">
            <wp:extent cx="6324600" cy="3541518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411A40" w14:textId="77777777" w:rsidR="002820B9" w:rsidRDefault="002820B9">
      <w:pPr>
        <w:pStyle w:val="Ttulo5"/>
      </w:pPr>
      <w:bookmarkStart w:id="4" w:name="section-4"/>
      <w:bookmarkEnd w:id="4"/>
    </w:p>
    <w:p w14:paraId="3C98EC3B" w14:textId="77777777" w:rsidR="002820B9" w:rsidRDefault="00314EFF">
      <w:r>
        <w:rPr>
          <w:b/>
        </w:rPr>
        <w:t>Figure 6.</w:t>
      </w:r>
      <w:r>
        <w:t xml:space="preserve"> Resilience metrics of t</w:t>
      </w:r>
      <w:r>
        <w:t xml:space="preserve">ree-growth for eigth severe drought events since 1950 (see main text for details) as a function of drought severity. </w:t>
      </w:r>
      <w:r>
        <w:rPr>
          <w:i/>
        </w:rPr>
        <w:t>Left</w:t>
      </w:r>
      <w:r>
        <w:t>: Resistance (</w:t>
      </w:r>
      <w:r>
        <w:rPr>
          <w:i/>
        </w:rPr>
        <w:t>Rt</w:t>
      </w:r>
      <w:r>
        <w:t xml:space="preserve">); </w:t>
      </w:r>
      <w:r>
        <w:rPr>
          <w:i/>
        </w:rPr>
        <w:t>Center</w:t>
      </w:r>
      <w:r>
        <w:t>: Recovery (</w:t>
      </w:r>
      <w:r>
        <w:rPr>
          <w:i/>
        </w:rPr>
        <w:t>Rc</w:t>
      </w:r>
      <w:r>
        <w:t xml:space="preserve">); </w:t>
      </w:r>
      <w:r>
        <w:rPr>
          <w:i/>
        </w:rPr>
        <w:t>Right</w:t>
      </w:r>
      <w:r>
        <w:t>: Resilience (</w:t>
      </w:r>
      <w:r>
        <w:rPr>
          <w:i/>
        </w:rPr>
        <w:t>Rs</w:t>
      </w:r>
      <w:r>
        <w:t>). Points indicate resilience metrics for oak populations: SJ (</w:t>
      </w:r>
      <w:r>
        <w:rPr>
          <w:i/>
        </w:rPr>
        <w:t>red</w:t>
      </w:r>
      <w:r>
        <w:t>), CA-</w:t>
      </w:r>
      <w:r>
        <w:t>High (</w:t>
      </w:r>
      <w:r>
        <w:rPr>
          <w:i/>
        </w:rPr>
        <w:t>blue</w:t>
      </w:r>
      <w:r>
        <w:t>) and CA-Low (</w:t>
      </w:r>
      <w:r>
        <w:rPr>
          <w:i/>
        </w:rPr>
        <w:t>green</w:t>
      </w:r>
      <w:r>
        <w:t>). Resilience metrics were computed for each population (sample depth &gt; 10) and drought event. Gray lines represent overall relationships for each Resilience metrics.</w:t>
      </w:r>
    </w:p>
    <w:p w14:paraId="51AB6B40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2F918EF1" wp14:editId="7E258512">
            <wp:extent cx="6324600" cy="3541518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3E4B98" w14:textId="77777777" w:rsidR="002820B9" w:rsidRDefault="002820B9">
      <w:pPr>
        <w:pStyle w:val="Ttulo5"/>
      </w:pPr>
      <w:bookmarkStart w:id="5" w:name="section-5"/>
      <w:bookmarkEnd w:id="5"/>
    </w:p>
    <w:p w14:paraId="48E6DBC9" w14:textId="77777777" w:rsidR="002820B9" w:rsidRDefault="00314EFF">
      <w:r>
        <w:rPr>
          <w:b/>
        </w:rPr>
        <w:t>Figure 7.</w:t>
      </w:r>
      <w:r>
        <w:t xml:space="preserve"> Comparison of the response of </w:t>
      </w:r>
      <w:r>
        <w:rPr>
          <w:i/>
        </w:rPr>
        <w:t>Q. pyrenaica</w:t>
      </w:r>
      <w:r>
        <w:t xml:space="preserve"> fore</w:t>
      </w:r>
      <w:r>
        <w:t>sts to drought in terms of resistance, recovery and resilience of greenness (a) and tree-growth (b). For EVI we compared northern populations (</w:t>
      </w:r>
      <w:r>
        <w:rPr>
          <w:i/>
        </w:rPr>
        <w:t>red circle</w:t>
      </w:r>
      <w:r>
        <w:t>) with southern ones (</w:t>
      </w:r>
      <w:r>
        <w:rPr>
          <w:i/>
        </w:rPr>
        <w:t>green circle</w:t>
      </w:r>
      <w:r>
        <w:t xml:space="preserve">). For BAI we compared the more xeric northern population (San Juan, </w:t>
      </w:r>
      <w:r>
        <w:t xml:space="preserve">SJ; </w:t>
      </w:r>
      <w:r>
        <w:rPr>
          <w:i/>
        </w:rPr>
        <w:t>red circle</w:t>
      </w:r>
      <w:r>
        <w:t xml:space="preserve">) with the two southerns populations: Cáñar-High (CA-High; </w:t>
      </w:r>
      <w:r>
        <w:rPr>
          <w:i/>
        </w:rPr>
        <w:t>blue circle</w:t>
      </w:r>
      <w:r>
        <w:t xml:space="preserve">) and Cáñar-Low (CA-Low; </w:t>
      </w:r>
      <w:r>
        <w:rPr>
          <w:i/>
        </w:rPr>
        <w:t>green circle</w:t>
      </w:r>
      <w:r>
        <w:t xml:space="preserve">). Different letters indicate significant </w:t>
      </w:r>
      <w:r>
        <w:rPr>
          <w:i/>
        </w:rPr>
        <w:t>post hoc</w:t>
      </w:r>
      <w:r>
        <w:t xml:space="preserve"> differences between groups (see material and methods for details).</w:t>
      </w:r>
    </w:p>
    <w:p w14:paraId="5B8A987E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006EF55C" wp14:editId="3BC77A9A">
            <wp:extent cx="6324600" cy="7186381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7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7186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08F7E1" w14:textId="77777777" w:rsidR="002820B9" w:rsidRDefault="002820B9">
      <w:pPr>
        <w:pStyle w:val="Ttulo5"/>
      </w:pPr>
      <w:bookmarkStart w:id="6" w:name="section-6"/>
      <w:bookmarkEnd w:id="6"/>
    </w:p>
    <w:p w14:paraId="461A7856" w14:textId="77777777" w:rsidR="002820B9" w:rsidRDefault="00314EFF">
      <w:r>
        <w:rPr>
          <w:b/>
        </w:rPr>
        <w:t>Figure 8.</w:t>
      </w:r>
      <w:r>
        <w:t xml:space="preserve"> Corr</w:t>
      </w:r>
      <w:r>
        <w:t xml:space="preserve">elation coefficients obtained by relating tree-ring residual chronologies (RWI) of </w:t>
      </w:r>
      <w:r>
        <w:rPr>
          <w:i/>
        </w:rPr>
        <w:t>Q. pyrenaica</w:t>
      </w:r>
      <w:r>
        <w:t xml:space="preserve"> and monthly climatic data: precipitation and 6-month SPEI (a), minimun (b) and maximun (c) temperatures. </w:t>
      </w:r>
      <w:r>
        <w:rPr>
          <w:i/>
        </w:rPr>
        <w:t>green</w:t>
      </w:r>
      <w:r>
        <w:t xml:space="preserve"> bars: northern site (SJ); </w:t>
      </w:r>
      <w:r>
        <w:rPr>
          <w:i/>
        </w:rPr>
        <w:t>light blue</w:t>
      </w:r>
      <w:r>
        <w:t xml:space="preserve"> </w:t>
      </w:r>
      <w:r>
        <w:t xml:space="preserve">bars: low-elevation southern site (CA-Low); and </w:t>
      </w:r>
      <w:r>
        <w:rPr>
          <w:i/>
        </w:rPr>
        <w:t>dark blue</w:t>
      </w:r>
      <w:r>
        <w:t xml:space="preserve"> bars: high-elevation shouthern site (CA-High). Asteriks indicate significant (</w:t>
      </w:r>
      <m:oMath>
        <m: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&lt;0.05</m:t>
        </m:r>
      </m:oMath>
      <w:r>
        <w:t>) correlation coefficients.</w:t>
      </w:r>
    </w:p>
    <w:p w14:paraId="00874FFE" w14:textId="77777777" w:rsidR="00367FBD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6EB737EA" wp14:editId="05E90CBD">
            <wp:extent cx="6324600" cy="3541518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2146118" w14:textId="77777777" w:rsidR="00367FBD" w:rsidRDefault="00367FBD">
      <w:pPr>
        <w:spacing w:before="0" w:after="200" w:line="240" w:lineRule="auto"/>
      </w:pPr>
      <w:r>
        <w:br w:type="page"/>
      </w:r>
    </w:p>
    <w:p w14:paraId="42DDBACC" w14:textId="77777777" w:rsidR="002820B9" w:rsidRDefault="00314EFF">
      <w:pPr>
        <w:pStyle w:val="Textoindependiente"/>
      </w:pPr>
      <w:r>
        <w:rPr>
          <w:b/>
        </w:rPr>
        <w:lastRenderedPageBreak/>
        <w:t>Figure S1.</w:t>
      </w:r>
      <w:r>
        <w:t xml:space="preserve"> Temporal evolution of cumulative precipitation (hydrological year)</w:t>
      </w:r>
      <w:r>
        <w:t xml:space="preserve"> during the period 1950-2017. Points represent mean and errorbars standard error. </w:t>
      </w:r>
      <w:r>
        <w:rPr>
          <w:i/>
        </w:rPr>
        <w:t>Black</w:t>
      </w:r>
      <w:r>
        <w:t xml:space="preserve"> line indicates mean for the whole period (585 mm). </w:t>
      </w:r>
      <w:r>
        <w:rPr>
          <w:i/>
        </w:rPr>
        <w:t>Red</w:t>
      </w:r>
      <w:r>
        <w:t xml:space="preserve"> lines represent -1 and -2 standard deviation (</w:t>
      </w:r>
      <w:r>
        <w:rPr>
          <w:i/>
        </w:rPr>
        <w:t>dotted</w:t>
      </w:r>
      <w:r>
        <w:t xml:space="preserve"> and </w:t>
      </w:r>
      <w:r>
        <w:rPr>
          <w:i/>
        </w:rPr>
        <w:t>dashed</w:t>
      </w:r>
      <w:r>
        <w:t xml:space="preserve"> lines respectively). </w:t>
      </w:r>
      <w:r>
        <w:rPr>
          <w:i/>
        </w:rPr>
        <w:t>Blue</w:t>
      </w:r>
      <w:r>
        <w:t xml:space="preserve"> lines represent +1 and </w:t>
      </w:r>
      <w:r>
        <w:t>+2 standard deviation (</w:t>
      </w:r>
      <w:r>
        <w:rPr>
          <w:i/>
        </w:rPr>
        <w:t>dotted</w:t>
      </w:r>
      <w:r>
        <w:t xml:space="preserve"> and </w:t>
      </w:r>
      <w:r>
        <w:rPr>
          <w:i/>
        </w:rPr>
        <w:t>dashed</w:t>
      </w:r>
      <w:r>
        <w:t xml:space="preserve"> lines respectively). Years with average values below -1SD are labelled. Data from 28 meteorological stations distributed around Sierra Nevada area (from National Spanish Meteorological Services, AEMET). </w:t>
      </w:r>
      <w:r>
        <w:rPr>
          <w:b/>
          <w:i/>
        </w:rPr>
        <w:t>Inset plot</w:t>
      </w:r>
      <w:r>
        <w:t xml:space="preserve">: </w:t>
      </w:r>
      <w:r>
        <w:t>cumulative precipitation during the hydrological years 2004-2005 (</w:t>
      </w:r>
      <w:r>
        <w:rPr>
          <w:i/>
        </w:rPr>
        <w:t>blue line</w:t>
      </w:r>
      <w:r>
        <w:t>) and 2011-2012 (</w:t>
      </w:r>
      <w:r>
        <w:rPr>
          <w:i/>
        </w:rPr>
        <w:t>red line</w:t>
      </w:r>
      <w:r>
        <w:t>). The boxplot representing the average from 1950-2015 period. Data from meteorological station Granada, Base Aérea.</w:t>
      </w:r>
    </w:p>
    <w:p w14:paraId="4F540AB0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589A6488" wp14:editId="360FA640">
            <wp:extent cx="6324600" cy="3541518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s1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ACEF6" w14:textId="77777777" w:rsidR="002820B9" w:rsidRDefault="002820B9">
      <w:pPr>
        <w:pStyle w:val="Ttulo5"/>
      </w:pPr>
      <w:bookmarkStart w:id="7" w:name="section-7"/>
      <w:bookmarkEnd w:id="7"/>
    </w:p>
    <w:p w14:paraId="1352A915" w14:textId="77777777" w:rsidR="002820B9" w:rsidRDefault="00314EFF">
      <w:r>
        <w:rPr>
          <w:b/>
        </w:rPr>
        <w:t>Figure S2</w:t>
      </w:r>
      <w:r>
        <w:t>. Drought severity in Sierr</w:t>
      </w:r>
      <w:r>
        <w:t>a Nevada for the 1901-2016 period based on the Standardised Precipitation-Evapotranspiration Index (SPEI). Data from Global SPEI database (</w:t>
      </w:r>
      <w:hyperlink r:id="rId16">
        <w:r>
          <w:rPr>
            <w:rStyle w:val="Hipervnculo"/>
          </w:rPr>
          <w:t>http://spei.csic.es/database.html</w:t>
        </w:r>
      </w:hyperlink>
      <w:r>
        <w:t>). We obtanied the SPEI data fo</w:t>
      </w:r>
      <w:r>
        <w:t>r a 12 month scale and for all 0.5º grid cells covering Sierra Nevada. Horizontal gray bars indicate 2005 and 2012 year.</w:t>
      </w:r>
    </w:p>
    <w:p w14:paraId="652D4BD1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1169ADDC" wp14:editId="1E3F84C6">
            <wp:extent cx="6324600" cy="3541518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s2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C26BD1" w14:textId="77777777" w:rsidR="002820B9" w:rsidRDefault="002820B9">
      <w:pPr>
        <w:pStyle w:val="Ttulo5"/>
      </w:pPr>
      <w:bookmarkStart w:id="8" w:name="section-8"/>
      <w:bookmarkEnd w:id="8"/>
    </w:p>
    <w:p w14:paraId="5EAEF110" w14:textId="77777777" w:rsidR="002820B9" w:rsidRDefault="00314EFF">
      <w:r>
        <w:rPr>
          <w:b/>
        </w:rPr>
        <w:t>Figure S3.</w:t>
      </w:r>
      <w:r>
        <w:t xml:space="preserve"> Residual tree-ring chronologies obtained for the </w:t>
      </w:r>
      <w:r>
        <w:rPr>
          <w:i/>
        </w:rPr>
        <w:t>Q. pyrenaica</w:t>
      </w:r>
      <w:r>
        <w:t xml:space="preserve"> </w:t>
      </w:r>
      <w:r>
        <w:t>sites. Dashed red lines indicate the start of the reliable period (EPS &gt; 0.85). Dotted black lines showing the severe drought years identified in our climatic data (Table S3 and Figure S1).</w:t>
      </w:r>
    </w:p>
    <w:p w14:paraId="7862DF3B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05D56E15" wp14:editId="67ECE069">
            <wp:extent cx="6324600" cy="3541518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s3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AD445" w14:textId="77777777" w:rsidR="002820B9" w:rsidRDefault="002820B9">
      <w:pPr>
        <w:pStyle w:val="Ttulo5"/>
      </w:pPr>
      <w:bookmarkStart w:id="9" w:name="section-9"/>
      <w:bookmarkEnd w:id="9"/>
    </w:p>
    <w:p w14:paraId="144E1C08" w14:textId="77777777" w:rsidR="002820B9" w:rsidRDefault="00314EFF">
      <w:r>
        <w:rPr>
          <w:b/>
        </w:rPr>
        <w:t>Figure S4.</w:t>
      </w:r>
      <w:r>
        <w:t xml:space="preserve"> Percentage of </w:t>
      </w:r>
      <w:r>
        <w:rPr>
          <w:i/>
        </w:rPr>
        <w:t>Q. pyrenaica</w:t>
      </w:r>
      <w:r>
        <w:t xml:space="preserve"> trees affected by GC &gt; 50</w:t>
      </w:r>
      <w:r>
        <w:t xml:space="preserve"> % by site. </w:t>
      </w:r>
      <w:r>
        <w:rPr>
          <w:i/>
        </w:rPr>
        <w:t>Black</w:t>
      </w:r>
      <w:r>
        <w:t xml:space="preserve"> line shows number of trees (rigth-axis). Data for number of trees &gt; 2 is shown.</w:t>
      </w:r>
    </w:p>
    <w:p w14:paraId="139624E4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056A129C" wp14:editId="5158A4D1">
            <wp:extent cx="6324600" cy="3541518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s4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20B56" w14:textId="77777777" w:rsidR="002820B9" w:rsidRDefault="002820B9">
      <w:pPr>
        <w:pStyle w:val="Ttulo5"/>
      </w:pPr>
      <w:bookmarkStart w:id="10" w:name="section-10"/>
      <w:bookmarkEnd w:id="10"/>
    </w:p>
    <w:p w14:paraId="094980D1" w14:textId="77777777" w:rsidR="002820B9" w:rsidRDefault="00314EFF">
      <w:r>
        <w:rPr>
          <w:b/>
        </w:rPr>
        <w:t>Figure S5.</w:t>
      </w:r>
      <w:r>
        <w:t xml:space="preserve"> Correlation between indices of resilience (</w:t>
      </w:r>
      <w:r>
        <w:rPr>
          <w:i/>
        </w:rPr>
        <w:t>Rt</w:t>
      </w:r>
      <w:r>
        <w:t xml:space="preserve">, resistance; </w:t>
      </w:r>
      <w:r>
        <w:rPr>
          <w:i/>
        </w:rPr>
        <w:t>Rc</w:t>
      </w:r>
      <w:r>
        <w:t xml:space="preserve">, recovery; </w:t>
      </w:r>
      <w:r>
        <w:rPr>
          <w:i/>
        </w:rPr>
        <w:t>Rs</w:t>
      </w:r>
      <w:r>
        <w:t>, Resilience) using periods of several lengths (2, 3 and 4 years afte</w:t>
      </w:r>
      <w:r>
        <w:t>r a drought). Top plots (a, b and c) showing the resilience indices of greenness (EVI) to drought; and bottom plots (d, e, f) the resilience indices of tree-growth (BAI) to drought.</w:t>
      </w:r>
    </w:p>
    <w:p w14:paraId="63DF8999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50B7BDF7" wp14:editId="33FF96FB">
            <wp:extent cx="6324600" cy="31623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s5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EA1D8" w14:textId="77777777" w:rsidR="002820B9" w:rsidRDefault="002820B9">
      <w:pPr>
        <w:pStyle w:val="Ttulo5"/>
      </w:pPr>
      <w:bookmarkStart w:id="11" w:name="section-11"/>
      <w:bookmarkEnd w:id="11"/>
    </w:p>
    <w:p w14:paraId="73839BE7" w14:textId="77777777" w:rsidR="002820B9" w:rsidRDefault="00314EFF">
      <w:r>
        <w:rPr>
          <w:b/>
        </w:rPr>
        <w:t>Figure S6.</w:t>
      </w:r>
      <w:r>
        <w:t xml:space="preserve"> Correlation among site chronologies (CA-High, CA-Low and SJ)</w:t>
      </w:r>
      <w:r>
        <w:t xml:space="preserve"> in different time-domains after pre-filtering the time-series with increasing size of the moving-average window (1 to 40 years). Each site chronology was smoothed using centred moving averages with different window sizes (1 to 40 years), and then Pearson’</w:t>
      </w:r>
      <w:r>
        <w:t xml:space="preserve">s correlation coefficient between the each pair chronologies were calculated. Significance was tested using 1000 boostrap replicates and with 95 % confidence intervals built using the R packgae </w:t>
      </w:r>
      <w:r>
        <w:rPr>
          <w:rStyle w:val="VerbatimChar"/>
        </w:rPr>
        <w:t>boot</w:t>
      </w:r>
      <w:r>
        <w:t>.</w:t>
      </w:r>
    </w:p>
    <w:p w14:paraId="1B00F537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6F4FE463" wp14:editId="66F9958F">
            <wp:extent cx="6324600" cy="4426148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s6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426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CC020B" w14:textId="77777777" w:rsidR="002820B9" w:rsidRDefault="002820B9">
      <w:pPr>
        <w:pStyle w:val="Ttulo5"/>
      </w:pPr>
      <w:bookmarkStart w:id="12" w:name="section-12"/>
      <w:bookmarkEnd w:id="12"/>
    </w:p>
    <w:p w14:paraId="43772947" w14:textId="77777777" w:rsidR="002820B9" w:rsidRDefault="00314EFF">
      <w:r>
        <w:rPr>
          <w:b/>
        </w:rPr>
        <w:t>Figure S7.</w:t>
      </w:r>
      <w:r>
        <w:t xml:space="preserve"> </w:t>
      </w:r>
      <w:r>
        <w:t xml:space="preserve">EVI annual profile (average of the period 2000-2016) for </w:t>
      </w:r>
      <w:r>
        <w:rPr>
          <w:i/>
        </w:rPr>
        <w:t>Q. pyrenaica</w:t>
      </w:r>
      <w:r>
        <w:t xml:space="preserve"> forests in Sierra Nevada and drought events. Horizontal bars correspond to the most severe droughts for Sierra Nevada since 1900 (computed as in Table S3). Their position indicate the st</w:t>
      </w:r>
      <w:r>
        <w:t>art and end months of each drought event. Bars length show the duration of the drought event (number of consecutive months with SPEI lower than -1.28, see (Páscoa et al. 2017)).</w:t>
      </w:r>
    </w:p>
    <w:p w14:paraId="4D7754FF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0FEB88DC" wp14:editId="59EE27B4">
            <wp:extent cx="6324600" cy="4426148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s7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426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048A0F" w14:textId="77777777" w:rsidR="002820B9" w:rsidRDefault="002820B9">
      <w:pPr>
        <w:pStyle w:val="Ttulo5"/>
      </w:pPr>
      <w:bookmarkStart w:id="13" w:name="section-13"/>
      <w:bookmarkEnd w:id="13"/>
    </w:p>
    <w:p w14:paraId="27314FF8" w14:textId="77777777" w:rsidR="002820B9" w:rsidRDefault="00314EFF">
      <w:r>
        <w:rPr>
          <w:b/>
        </w:rPr>
        <w:t>Figure S8.</w:t>
      </w:r>
      <w:r>
        <w:t xml:space="preserve"> Resilience metrics of the tree-growth for severe drought events </w:t>
      </w:r>
      <w:r>
        <w:t xml:space="preserve">since 1950 (excluding 1995 drought event). </w:t>
      </w:r>
      <w:r>
        <w:rPr>
          <w:i/>
        </w:rPr>
        <w:t>Left</w:t>
      </w:r>
      <w:r>
        <w:t>: Resistance (</w:t>
      </w:r>
      <w:r>
        <w:rPr>
          <w:i/>
        </w:rPr>
        <w:t>Rt</w:t>
      </w:r>
      <w:r>
        <w:t xml:space="preserve">); </w:t>
      </w:r>
      <w:r>
        <w:rPr>
          <w:i/>
        </w:rPr>
        <w:t>Center</w:t>
      </w:r>
      <w:r>
        <w:t>: Recovery (</w:t>
      </w:r>
      <w:r>
        <w:rPr>
          <w:i/>
        </w:rPr>
        <w:t>Rc</w:t>
      </w:r>
      <w:r>
        <w:t xml:space="preserve">); </w:t>
      </w:r>
      <w:r>
        <w:rPr>
          <w:i/>
        </w:rPr>
        <w:t>Right</w:t>
      </w:r>
      <w:r>
        <w:t>: Resilience (</w:t>
      </w:r>
      <w:r>
        <w:rPr>
          <w:i/>
        </w:rPr>
        <w:t>Rs</w:t>
      </w:r>
      <w:r>
        <w:t>). Points indicate resilience metrics for oak populations: SJ (</w:t>
      </w:r>
      <w:r>
        <w:rPr>
          <w:i/>
        </w:rPr>
        <w:t>blue</w:t>
      </w:r>
      <w:r>
        <w:t>), CA-High (</w:t>
      </w:r>
      <w:r>
        <w:rPr>
          <w:i/>
        </w:rPr>
        <w:t>red</w:t>
      </w:r>
      <w:r>
        <w:t>) and CA-Low (</w:t>
      </w:r>
      <w:r>
        <w:rPr>
          <w:i/>
        </w:rPr>
        <w:t>green</w:t>
      </w:r>
      <w:r>
        <w:t xml:space="preserve">). Resilience metrics were computed for each </w:t>
      </w:r>
      <w:r>
        <w:t>population (sample depth &gt; 10) and drought event. Gray line represents overall relationship for each Resilience metrics.</w:t>
      </w:r>
    </w:p>
    <w:p w14:paraId="29D5B3F0" w14:textId="77777777" w:rsidR="002820B9" w:rsidRDefault="00314EFF">
      <w:pPr>
        <w:pStyle w:val="Textoindependiente"/>
      </w:pPr>
      <w:r>
        <w:rPr>
          <w:noProof/>
          <w:lang w:val="es-ES_tradnl" w:eastAsia="es-ES_tradnl"/>
        </w:rPr>
        <w:drawing>
          <wp:inline distT="0" distB="0" distL="0" distR="0" wp14:anchorId="2075FEAE" wp14:editId="69B82E54">
            <wp:extent cx="6324600" cy="3541518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../man/figures/svg/fig_s8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41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4C5AC" w14:textId="77777777" w:rsidR="002820B9" w:rsidRDefault="002820B9" w:rsidP="00367FBD">
      <w:pPr>
        <w:pStyle w:val="Bibliografa"/>
        <w:ind w:left="0" w:firstLine="0"/>
      </w:pPr>
      <w:bookmarkStart w:id="14" w:name="refs"/>
      <w:bookmarkStart w:id="15" w:name="ref-PerezLuque2015"/>
      <w:bookmarkStart w:id="16" w:name="_GoBack"/>
      <w:bookmarkEnd w:id="16"/>
    </w:p>
    <w:bookmarkEnd w:id="14"/>
    <w:bookmarkEnd w:id="15"/>
    <w:sectPr w:rsidR="002820B9" w:rsidSect="00683440">
      <w:pgSz w:w="12240" w:h="15840"/>
      <w:pgMar w:top="1134" w:right="1134" w:bottom="1134" w:left="1134" w:header="720" w:footer="720" w:gutter="0"/>
      <w:lnNumType w:countBy="1" w:restart="continuous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BA2C95" w14:textId="77777777" w:rsidR="00314EFF" w:rsidRDefault="00314EFF">
      <w:pPr>
        <w:spacing w:before="0" w:after="0" w:line="240" w:lineRule="auto"/>
      </w:pPr>
      <w:r>
        <w:separator/>
      </w:r>
    </w:p>
  </w:endnote>
  <w:endnote w:type="continuationSeparator" w:id="0">
    <w:p w14:paraId="58352874" w14:textId="77777777" w:rsidR="00314EFF" w:rsidRDefault="00314EF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14803B" w14:textId="77777777" w:rsidR="00314EFF" w:rsidRDefault="00314EFF">
      <w:r>
        <w:separator/>
      </w:r>
    </w:p>
  </w:footnote>
  <w:footnote w:type="continuationSeparator" w:id="0">
    <w:p w14:paraId="09F8EC83" w14:textId="77777777" w:rsidR="00314EFF" w:rsidRDefault="00314E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B349DFE"/>
    <w:multiLevelType w:val="multilevel"/>
    <w:tmpl w:val="54C439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A47EE9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A1050C4"/>
    <w:multiLevelType w:val="multilevel"/>
    <w:tmpl w:val="E60283FC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58A9882"/>
    <w:multiLevelType w:val="multilevel"/>
    <w:tmpl w:val="3106F92A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2C1AE401"/>
    <w:multiLevelType w:val="multilevel"/>
    <w:tmpl w:val="E90E4D8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5">
    <w:nsid w:val="3D4ABF41"/>
    <w:multiLevelType w:val="multilevel"/>
    <w:tmpl w:val="4C74926A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4AE73AA5"/>
    <w:multiLevelType w:val="multilevel"/>
    <w:tmpl w:val="9CD4E85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6201F114"/>
    <w:multiLevelType w:val="multilevel"/>
    <w:tmpl w:val="B6380E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75C20D2B"/>
    <w:multiLevelType w:val="multilevel"/>
    <w:tmpl w:val="7AF23D68"/>
    <w:lvl w:ilvl="0">
      <w:start w:val="3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6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>
    <w:abstractNumId w:val="5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8">
    <w:abstractNumId w:val="8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2820B9"/>
    <w:rsid w:val="00314EFF"/>
    <w:rsid w:val="00367FBD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1F640F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0"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1949"/>
    <w:pPr>
      <w:spacing w:before="180" w:after="180" w:line="360" w:lineRule="auto"/>
    </w:pPr>
    <w:rPr>
      <w:sz w:val="20"/>
    </w:rPr>
  </w:style>
  <w:style w:type="paragraph" w:styleId="Ttulo1">
    <w:name w:val="heading 1"/>
    <w:basedOn w:val="Normal"/>
    <w:next w:val="Normal"/>
    <w:autoRedefine/>
    <w:uiPriority w:val="9"/>
    <w:qFormat/>
    <w:rsid w:val="0006512E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FD5C5D"/>
    <w:pPr>
      <w:keepNext/>
      <w:keepLines/>
      <w:spacing w:before="320" w:after="120" w:line="480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Ttulo3">
    <w:name w:val="heading 3"/>
    <w:basedOn w:val="Ttulo2"/>
    <w:next w:val="Normal"/>
    <w:autoRedefine/>
    <w:uiPriority w:val="9"/>
    <w:unhideWhenUsed/>
    <w:qFormat/>
    <w:rsid w:val="0006512E"/>
    <w:pPr>
      <w:outlineLvl w:val="2"/>
    </w:pPr>
  </w:style>
  <w:style w:type="paragraph" w:styleId="Ttulo4">
    <w:name w:val="heading 4"/>
    <w:basedOn w:val="Ttulo3"/>
    <w:next w:val="Normal"/>
    <w:uiPriority w:val="9"/>
    <w:unhideWhenUsed/>
    <w:qFormat/>
    <w:rsid w:val="00792BF1"/>
    <w:pPr>
      <w:outlineLvl w:val="3"/>
    </w:pPr>
    <w:rPr>
      <w:lang w:val="es-ES"/>
    </w:rPr>
  </w:style>
  <w:style w:type="paragraph" w:styleId="Ttulo5">
    <w:name w:val="heading 5"/>
    <w:basedOn w:val="Ttulo4"/>
    <w:next w:val="Normal"/>
    <w:uiPriority w:val="9"/>
    <w:unhideWhenUsed/>
    <w:qFormat/>
    <w:rsid w:val="00A701F6"/>
    <w:pPr>
      <w:pageBreakBefore/>
      <w:outlineLvl w:val="4"/>
    </w:pPr>
  </w:style>
  <w:style w:type="paragraph" w:styleId="Ttulo6">
    <w:name w:val="heading 6"/>
    <w:basedOn w:val="Normal"/>
    <w:next w:val="Normal"/>
    <w:link w:val="Ttulo6Car"/>
    <w:qFormat/>
    <w:rsid w:val="00380EBE"/>
    <w:pPr>
      <w:keepNext/>
      <w:keepLines/>
      <w:pageBreakBefore/>
      <w:spacing w:before="200" w:after="0"/>
      <w:outlineLvl w:val="5"/>
    </w:pPr>
    <w:rPr>
      <w:rFonts w:asciiTheme="majorHAnsi" w:eastAsiaTheme="majorEastAsia" w:hAnsiTheme="majorHAnsi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Puesto">
    <w:name w:val="Title"/>
    <w:basedOn w:val="Normal"/>
    <w:next w:val="Normal"/>
    <w:qFormat/>
    <w:rsid w:val="00EC1535"/>
    <w:pPr>
      <w:keepNext/>
      <w:keepLines/>
      <w:spacing w:before="480" w:after="720"/>
    </w:pPr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Subttulo">
    <w:name w:val="Subtitle"/>
    <w:basedOn w:val="Puesto"/>
    <w:next w:val="Normal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Normal"/>
    <w:qFormat/>
    <w:rsid w:val="0006512E"/>
    <w:pPr>
      <w:keepNext/>
      <w:keepLines/>
      <w:spacing w:before="120" w:after="320"/>
    </w:pPr>
    <w:rPr>
      <w:rFonts w:ascii="Arial" w:hAnsi="Arial"/>
    </w:rPr>
  </w:style>
  <w:style w:type="paragraph" w:styleId="Fecha">
    <w:name w:val="Date"/>
    <w:next w:val="Normal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qFormat/>
    <w:pPr>
      <w:keepNext/>
      <w:keepLines/>
      <w:spacing w:before="300" w:after="300"/>
    </w:pPr>
    <w:rPr>
      <w:szCs w:val="20"/>
    </w:rPr>
  </w:style>
  <w:style w:type="paragraph" w:styleId="Bibliografa">
    <w:name w:val="Bibliography"/>
    <w:basedOn w:val="Normal"/>
    <w:qFormat/>
    <w:rsid w:val="006C57ED"/>
    <w:pPr>
      <w:ind w:left="567" w:hanging="567"/>
    </w:pPr>
  </w:style>
  <w:style w:type="paragraph" w:customStyle="1" w:styleId="BlockQuote">
    <w:name w:val="Block Quote"/>
    <w:basedOn w:val="Normal"/>
    <w:next w:val="Normal"/>
    <w:uiPriority w:val="9"/>
    <w:unhideWhenUsed/>
    <w:qFormat/>
    <w:rsid w:val="00975FD8"/>
    <w:pPr>
      <w:spacing w:before="100" w:after="100" w:line="240" w:lineRule="auto"/>
    </w:pPr>
    <w:rPr>
      <w:rFonts w:asciiTheme="majorHAnsi" w:eastAsiaTheme="majorEastAsia" w:hAnsiTheme="majorHAnsi" w:cstheme="majorBidi"/>
      <w:bCs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Textoindependiente">
    <w:name w:val="Body Text"/>
    <w:basedOn w:val="Normal"/>
    <w:link w:val="TextoindependienteCar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Fuentedeprrafopredeter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Hipervnculo">
    <w:name w:val="Hyperlink"/>
    <w:basedOn w:val="Fuentedeprrafopredeter"/>
    <w:rsid w:val="00A6715F"/>
    <w:rPr>
      <w:color w:val="0000FF" w:themeColor="hyperlink"/>
      <w:u w:val="single"/>
    </w:rPr>
  </w:style>
  <w:style w:type="character" w:customStyle="1" w:styleId="Ttulo6Car">
    <w:name w:val="Título 6 Car"/>
    <w:basedOn w:val="Fuentedeprrafopredeter"/>
    <w:link w:val="Ttulo6"/>
    <w:rsid w:val="00380EBE"/>
    <w:rPr>
      <w:rFonts w:asciiTheme="majorHAnsi" w:eastAsiaTheme="majorEastAsia" w:hAnsiTheme="majorHAnsi" w:cstheme="majorBidi"/>
      <w:iCs/>
      <w:sz w:val="20"/>
    </w:rPr>
  </w:style>
  <w:style w:type="character" w:customStyle="1" w:styleId="TextoindependienteCar">
    <w:name w:val="Texto independiente Car"/>
    <w:basedOn w:val="Fuentedeprrafopredeter"/>
    <w:link w:val="Textoindependiente"/>
    <w:rsid w:val="00C102C2"/>
    <w:rPr>
      <w:sz w:val="20"/>
    </w:rPr>
  </w:style>
  <w:style w:type="character" w:styleId="Nmerodelnea">
    <w:name w:val="line number"/>
    <w:basedOn w:val="Fuentedeprrafopredeter"/>
    <w:rsid w:val="002A5C4B"/>
  </w:style>
  <w:style w:type="paragraph" w:styleId="Encabezado">
    <w:name w:val="header"/>
    <w:basedOn w:val="Normal"/>
    <w:link w:val="Encabezado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659D1"/>
    <w:rPr>
      <w:sz w:val="20"/>
    </w:rPr>
  </w:style>
  <w:style w:type="paragraph" w:styleId="Piedepgina">
    <w:name w:val="footer"/>
    <w:basedOn w:val="Normal"/>
    <w:link w:val="Piedepgina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659D1"/>
    <w:rPr>
      <w:sz w:val="20"/>
    </w:rPr>
  </w:style>
  <w:style w:type="paragraph" w:styleId="Textodeglobo">
    <w:name w:val="Balloon Text"/>
    <w:basedOn w:val="Normal"/>
    <w:link w:val="TextodegloboCar"/>
    <w:rsid w:val="003659D1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3659D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hyperlink" Target="http://spei.csic.es/database.html" TargetMode="External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jp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1021</Words>
  <Characters>5617</Characters>
  <Application>Microsoft Macintosh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Ciencia reproducible: qué, por qué, cómo (include English title too)</vt:lpstr>
    </vt:vector>
  </TitlesOfParts>
  <Company>Microsoft</Company>
  <LinksUpToDate>false</LinksUpToDate>
  <CharactersWithSpaces>6625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Antonio J.</dc:creator>
  <cp:keywords/>
  <cp:lastModifiedBy>Antonio J.</cp:lastModifiedBy>
  <cp:revision>2</cp:revision>
  <dcterms:created xsi:type="dcterms:W3CDTF">2019-08-14T19:46:00Z</dcterms:created>
  <dcterms:modified xsi:type="dcterms:W3CDTF">2019-08-14T19:46:00Z</dcterms:modified>
</cp:coreProperties>
</file>